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7576" w14:textId="77777777" w:rsidR="00C566FC" w:rsidRPr="00C566FC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6FC">
        <w:rPr>
          <w:rFonts w:ascii="Times New Roman" w:hAnsi="Times New Roman" w:cs="Times New Roman"/>
          <w:b/>
          <w:sz w:val="26"/>
          <w:szCs w:val="26"/>
        </w:rPr>
        <w:t>Порядок перехода со счета регионального оператора на специальный счет ТСЖ, ЖСК, УК.</w:t>
      </w:r>
    </w:p>
    <w:p w14:paraId="42CBF660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797CB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sz w:val="24"/>
          <w:szCs w:val="24"/>
        </w:rPr>
        <w:t xml:space="preserve">Способ формирования фонда капитального ремонта со счета регионального оператора на специальный счет ТСЖ, ЖСК, УК может быть изменен в любое время на основании </w:t>
      </w:r>
      <w:r w:rsidRPr="00D2298F">
        <w:rPr>
          <w:rFonts w:ascii="Times New Roman" w:hAnsi="Times New Roman" w:cs="Times New Roman"/>
          <w:sz w:val="24"/>
          <w:szCs w:val="24"/>
          <w:u w:val="single"/>
        </w:rPr>
        <w:t>решения общего собрания собственников помещений в многоквартирном доме</w:t>
      </w:r>
      <w:r w:rsidRPr="00D2298F">
        <w:rPr>
          <w:rFonts w:ascii="Times New Roman" w:hAnsi="Times New Roman" w:cs="Times New Roman"/>
          <w:sz w:val="24"/>
          <w:szCs w:val="24"/>
        </w:rPr>
        <w:t>.</w:t>
      </w:r>
    </w:p>
    <w:p w14:paraId="0F471533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504FFD3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b/>
          <w:i/>
          <w:sz w:val="24"/>
          <w:szCs w:val="24"/>
        </w:rPr>
        <w:t>Шаг 1.</w:t>
      </w:r>
      <w:r w:rsidRPr="00D2298F">
        <w:rPr>
          <w:rFonts w:ascii="Times New Roman" w:hAnsi="Times New Roman" w:cs="Times New Roman"/>
          <w:sz w:val="24"/>
          <w:szCs w:val="24"/>
        </w:rPr>
        <w:t xml:space="preserve"> Провести общее собрание собственников помещений в многоквартирном доме, вынести на повест</w:t>
      </w:r>
      <w:bookmarkStart w:id="0" w:name="_GoBack"/>
      <w:bookmarkEnd w:id="0"/>
      <w:r w:rsidRPr="00D2298F">
        <w:rPr>
          <w:rFonts w:ascii="Times New Roman" w:hAnsi="Times New Roman" w:cs="Times New Roman"/>
          <w:sz w:val="24"/>
          <w:szCs w:val="24"/>
        </w:rPr>
        <w:t xml:space="preserve">ку дня вопрос об изменении способа формирования фонда капитального ремонта со счета регионального оператора на специальный счет, а </w:t>
      </w:r>
      <w:proofErr w:type="gramStart"/>
      <w:r w:rsidRPr="00D2298F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D2298F">
        <w:rPr>
          <w:rFonts w:ascii="Times New Roman" w:hAnsi="Times New Roman" w:cs="Times New Roman"/>
          <w:sz w:val="24"/>
          <w:szCs w:val="24"/>
        </w:rPr>
        <w:t xml:space="preserve"> рассмотреть вопросы ч.4 ст. 170 ЖК РФ:</w:t>
      </w:r>
    </w:p>
    <w:p w14:paraId="1BD70145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sz w:val="24"/>
          <w:szCs w:val="24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14:paraId="22586FB6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sz w:val="24"/>
          <w:szCs w:val="24"/>
        </w:rPr>
        <w:t>2) владелец специального счета;</w:t>
      </w:r>
    </w:p>
    <w:p w14:paraId="35C26313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sz w:val="24"/>
          <w:szCs w:val="24"/>
        </w:rPr>
        <w:t>3) кредитная организация, в которой будет открыт специальный счет.</w:t>
      </w:r>
    </w:p>
    <w:p w14:paraId="7D5F8E17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DAFF6A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b/>
          <w:i/>
          <w:sz w:val="24"/>
          <w:szCs w:val="24"/>
        </w:rPr>
        <w:t>Шаг 2.</w:t>
      </w:r>
      <w:r w:rsidRPr="00D2298F">
        <w:rPr>
          <w:rFonts w:ascii="Times New Roman" w:hAnsi="Times New Roman" w:cs="Times New Roman"/>
          <w:sz w:val="24"/>
          <w:szCs w:val="24"/>
        </w:rPr>
        <w:t xml:space="preserve"> Решение общего собрания собственников помещений в многоквартирном доме об изменении способа формирования фонда капитального ремонта оформленное протоколом общего собрания собственников помещений многоквартирного </w:t>
      </w:r>
      <w:proofErr w:type="gramStart"/>
      <w:r w:rsidRPr="00D2298F">
        <w:rPr>
          <w:rFonts w:ascii="Times New Roman" w:hAnsi="Times New Roman" w:cs="Times New Roman"/>
          <w:sz w:val="24"/>
          <w:szCs w:val="24"/>
        </w:rPr>
        <w:t>дома  в</w:t>
      </w:r>
      <w:proofErr w:type="gramEnd"/>
      <w:r w:rsidRPr="00D2298F">
        <w:rPr>
          <w:rFonts w:ascii="Times New Roman" w:hAnsi="Times New Roman" w:cs="Times New Roman"/>
          <w:sz w:val="24"/>
          <w:szCs w:val="24"/>
        </w:rPr>
        <w:t xml:space="preserve"> течение пяти рабочих дней после принятия такого решения направляется региональному оператору, на счет которого перечисляются эти взносы.</w:t>
      </w:r>
    </w:p>
    <w:p w14:paraId="4D857779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445415D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b/>
          <w:i/>
          <w:sz w:val="24"/>
          <w:szCs w:val="24"/>
        </w:rPr>
        <w:t>Шаг 3.</w:t>
      </w:r>
      <w:r w:rsidRPr="00D2298F">
        <w:rPr>
          <w:rFonts w:ascii="Times New Roman" w:hAnsi="Times New Roman" w:cs="Times New Roman"/>
          <w:sz w:val="24"/>
          <w:szCs w:val="24"/>
        </w:rPr>
        <w:t xml:space="preserve"> Согласно ч.5 ст.170 ЖК РФ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такового, если более ранний срок не установлен решением общего собрания собственников помещений в многоквартирном доме.</w:t>
      </w:r>
    </w:p>
    <w:p w14:paraId="3FE94F8C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D81A0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b/>
          <w:i/>
          <w:sz w:val="24"/>
          <w:szCs w:val="24"/>
        </w:rPr>
        <w:t xml:space="preserve">Шаг 4. </w:t>
      </w:r>
      <w:r w:rsidRPr="00D2298F">
        <w:rPr>
          <w:rFonts w:ascii="Times New Roman" w:hAnsi="Times New Roman" w:cs="Times New Roman"/>
          <w:sz w:val="24"/>
          <w:szCs w:val="24"/>
        </w:rPr>
        <w:t>Согласно ч.1 ст.172 ЖК РФ</w:t>
      </w:r>
      <w:r w:rsidRPr="00D2298F">
        <w:rPr>
          <w:sz w:val="24"/>
          <w:szCs w:val="24"/>
        </w:rPr>
        <w:t xml:space="preserve"> </w:t>
      </w:r>
      <w:r w:rsidRPr="00D2298F">
        <w:rPr>
          <w:rFonts w:ascii="Times New Roman" w:hAnsi="Times New Roman" w:cs="Times New Roman"/>
          <w:sz w:val="24"/>
          <w:szCs w:val="24"/>
        </w:rPr>
        <w:t xml:space="preserve">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(в Государственную жилищную инспекцию Санкт-Петербурга)  </w:t>
      </w:r>
      <w:r w:rsidRPr="00D2298F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D2298F">
        <w:rPr>
          <w:rFonts w:ascii="Times New Roman" w:hAnsi="Times New Roman" w:cs="Times New Roman"/>
          <w:sz w:val="24"/>
          <w:szCs w:val="24"/>
        </w:rPr>
        <w:t xml:space="preserve"> о выбранном собственниками помещений в соответствующем многоквартирном доме способе формирования фонда капитального ремонта с приложением </w:t>
      </w:r>
      <w:r w:rsidRPr="00D2298F">
        <w:rPr>
          <w:rFonts w:ascii="Times New Roman" w:hAnsi="Times New Roman" w:cs="Times New Roman"/>
          <w:b/>
          <w:sz w:val="24"/>
          <w:szCs w:val="24"/>
        </w:rPr>
        <w:t>копии протокола</w:t>
      </w:r>
      <w:r w:rsidRPr="00D2298F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в этом многоквартирном доме, </w:t>
      </w:r>
      <w:r w:rsidRPr="00D2298F">
        <w:rPr>
          <w:rFonts w:ascii="Times New Roman" w:hAnsi="Times New Roman" w:cs="Times New Roman"/>
          <w:b/>
          <w:sz w:val="24"/>
          <w:szCs w:val="24"/>
        </w:rPr>
        <w:t xml:space="preserve">справки банка об открытии специального счета.  </w:t>
      </w:r>
      <w:r w:rsidRPr="00D2298F">
        <w:rPr>
          <w:rFonts w:ascii="Times New Roman" w:hAnsi="Times New Roman" w:cs="Times New Roman"/>
          <w:sz w:val="24"/>
          <w:szCs w:val="24"/>
        </w:rPr>
        <w:t>Форма уведомления утверждена Распоряжением Государственной жилищной инспекции Санкт-Петербурга №20-р от 23.04.2014.</w:t>
      </w:r>
    </w:p>
    <w:p w14:paraId="5982DA2C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F8BE5A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b/>
          <w:i/>
          <w:sz w:val="24"/>
          <w:szCs w:val="24"/>
        </w:rPr>
        <w:t>Шаг 5.</w:t>
      </w:r>
      <w:r w:rsidRPr="00D2298F">
        <w:rPr>
          <w:rFonts w:ascii="Times New Roman" w:hAnsi="Times New Roman" w:cs="Times New Roman"/>
          <w:sz w:val="24"/>
          <w:szCs w:val="24"/>
        </w:rPr>
        <w:t xml:space="preserve">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</w:t>
      </w:r>
      <w:r w:rsidRPr="00D2298F">
        <w:rPr>
          <w:rFonts w:ascii="Times New Roman" w:hAnsi="Times New Roman" w:cs="Times New Roman"/>
          <w:b/>
          <w:sz w:val="24"/>
          <w:szCs w:val="24"/>
        </w:rPr>
        <w:t>вступает в силу через год после направления региональному оператору</w:t>
      </w:r>
      <w:r w:rsidRPr="00D2298F">
        <w:rPr>
          <w:rFonts w:ascii="Times New Roman" w:hAnsi="Times New Roman" w:cs="Times New Roman"/>
          <w:sz w:val="24"/>
          <w:szCs w:val="24"/>
        </w:rPr>
        <w:t xml:space="preserve"> решения общего собрания собственников помещений в многоквартирном доме.</w:t>
      </w:r>
    </w:p>
    <w:p w14:paraId="60AB398B" w14:textId="77777777" w:rsidR="00C566FC" w:rsidRPr="00D2298F" w:rsidRDefault="00C566FC" w:rsidP="00C56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B61D7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98F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требования: </w:t>
      </w:r>
    </w:p>
    <w:p w14:paraId="4C752E80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5C395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D2298F">
        <w:rPr>
          <w:rFonts w:ascii="Times New Roman" w:hAnsi="Times New Roman" w:cs="Times New Roman"/>
          <w:sz w:val="24"/>
          <w:szCs w:val="24"/>
        </w:rPr>
        <w:t xml:space="preserve">Согласно ст.44, ст.46 ЖК РФ решение об изменении способа формирования фонда капитального ремонта принимается </w:t>
      </w:r>
      <w:r w:rsidRPr="00D2298F">
        <w:rPr>
          <w:rFonts w:ascii="Times New Roman" w:hAnsi="Times New Roman" w:cs="Times New Roman"/>
          <w:b/>
          <w:sz w:val="24"/>
          <w:szCs w:val="24"/>
        </w:rPr>
        <w:t>более чем пятьюдесятью процентами голосов</w:t>
      </w:r>
      <w:r w:rsidRPr="00D2298F">
        <w:rPr>
          <w:rFonts w:ascii="Times New Roman" w:hAnsi="Times New Roman" w:cs="Times New Roman"/>
          <w:sz w:val="24"/>
          <w:szCs w:val="24"/>
        </w:rPr>
        <w:t xml:space="preserve"> </w:t>
      </w:r>
      <w:r w:rsidRPr="00D2298F">
        <w:rPr>
          <w:rFonts w:ascii="Times New Roman" w:hAnsi="Times New Roman" w:cs="Times New Roman"/>
          <w:b/>
          <w:sz w:val="24"/>
          <w:szCs w:val="24"/>
        </w:rPr>
        <w:t>от общего числа голосов собственников помещений</w:t>
      </w:r>
      <w:r w:rsidRPr="00D2298F">
        <w:rPr>
          <w:rFonts w:ascii="Times New Roman" w:hAnsi="Times New Roman" w:cs="Times New Roman"/>
          <w:sz w:val="24"/>
          <w:szCs w:val="24"/>
        </w:rPr>
        <w:t xml:space="preserve"> в многоквартирном доме (в редакции ЖК РФ с изменениями на 04.07.2016).</w:t>
      </w:r>
    </w:p>
    <w:p w14:paraId="14AD183A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872E87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b/>
          <w:sz w:val="24"/>
          <w:szCs w:val="24"/>
        </w:rPr>
        <w:lastRenderedPageBreak/>
        <w:t>2) Протокол общего собрания собственников помещений должен</w:t>
      </w:r>
      <w:r w:rsidRPr="00D2298F">
        <w:rPr>
          <w:rFonts w:ascii="Times New Roman" w:hAnsi="Times New Roman" w:cs="Times New Roman"/>
          <w:sz w:val="24"/>
          <w:szCs w:val="24"/>
        </w:rPr>
        <w:t xml:space="preserve"> быть оформлен согласно требованиям Приказа Министерства строительства и жилищно-коммунального хозяйства РФ №937/пр от 25.12.2015                          «Об 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 в уполномоченные органы исполнительной власти субъектов РФ, осуществляющие государственный жилищный  надзор» </w:t>
      </w:r>
    </w:p>
    <w:p w14:paraId="1010D97F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74988D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98F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D2298F">
        <w:rPr>
          <w:rFonts w:ascii="Times New Roman" w:hAnsi="Times New Roman" w:cs="Times New Roman"/>
          <w:sz w:val="24"/>
          <w:szCs w:val="24"/>
        </w:rPr>
        <w:t xml:space="preserve">Согласно п.16 Приказа Министерства строительства и жилищно-коммунального хозяйства РФ №937/пр от 25.12.2105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</w:t>
      </w:r>
      <w:r w:rsidRPr="00D2298F">
        <w:rPr>
          <w:rFonts w:ascii="Times New Roman" w:hAnsi="Times New Roman" w:cs="Times New Roman"/>
          <w:sz w:val="24"/>
          <w:szCs w:val="24"/>
          <w:u w:val="single"/>
        </w:rPr>
        <w:t>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</w:t>
      </w:r>
    </w:p>
    <w:p w14:paraId="210D5B00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8D98E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b/>
          <w:sz w:val="24"/>
          <w:szCs w:val="24"/>
        </w:rPr>
        <w:t>4)</w:t>
      </w:r>
      <w:r w:rsidRPr="00D2298F">
        <w:rPr>
          <w:rFonts w:ascii="Times New Roman" w:hAnsi="Times New Roman" w:cs="Times New Roman"/>
          <w:sz w:val="24"/>
          <w:szCs w:val="24"/>
        </w:rPr>
        <w:t xml:space="preserve"> Согласно п.9 Приказа Министерства строительства и жилищно-коммунального хозяйства РФ №937/пр от 25.12.2105 заголовок к содержательной части протокола </w:t>
      </w:r>
      <w:r w:rsidRPr="00D2298F">
        <w:rPr>
          <w:rFonts w:ascii="Times New Roman" w:hAnsi="Times New Roman" w:cs="Times New Roman"/>
          <w:b/>
          <w:sz w:val="24"/>
          <w:szCs w:val="24"/>
        </w:rPr>
        <w:t>должен содержать адрес многоквартирного дома</w:t>
      </w:r>
      <w:r w:rsidRPr="00D2298F">
        <w:rPr>
          <w:rFonts w:ascii="Times New Roman" w:hAnsi="Times New Roman" w:cs="Times New Roman"/>
          <w:sz w:val="24"/>
          <w:szCs w:val="24"/>
        </w:rPr>
        <w:t>.</w:t>
      </w:r>
    </w:p>
    <w:p w14:paraId="096EEC2A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sz w:val="24"/>
          <w:szCs w:val="24"/>
        </w:rPr>
        <w:t>Адрес многоквартирного дома в протоколе необходимо указывать в соответствии с техническим паспортом здания (</w:t>
      </w:r>
      <w:r w:rsidRPr="00D2298F">
        <w:rPr>
          <w:rFonts w:ascii="Times New Roman" w:hAnsi="Times New Roman" w:cs="Times New Roman"/>
          <w:b/>
          <w:sz w:val="24"/>
          <w:szCs w:val="24"/>
        </w:rPr>
        <w:t>с указанием литеры</w:t>
      </w:r>
      <w:r w:rsidRPr="00D2298F">
        <w:rPr>
          <w:rFonts w:ascii="Times New Roman" w:hAnsi="Times New Roman" w:cs="Times New Roman"/>
          <w:sz w:val="24"/>
          <w:szCs w:val="24"/>
        </w:rPr>
        <w:t>).</w:t>
      </w:r>
    </w:p>
    <w:p w14:paraId="7F66B6FC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98F">
        <w:rPr>
          <w:rFonts w:ascii="Times New Roman" w:hAnsi="Times New Roman" w:cs="Times New Roman"/>
          <w:sz w:val="24"/>
          <w:szCs w:val="24"/>
        </w:rPr>
        <w:t xml:space="preserve">Адрес объекта недвижимости в объектной адресной системе представляется в соответствии с п.1, п.2 Распоряжения губернатора                  Санкт-Петербурга от 31 декабря 1997 г. № 1356-р «О порядке взаимодействия структурных подразделений администрации                             Санкт-Петербурга при учете объектов недвижимости» и содержит адрес объекта недвижимости - улицы, площади, линии, аллеи, бульвары, дороги, набережные, переулки, проспекты, проезды, шоссе и т.п., находящиеся на территории Санкт-Петербурга и номер объекта, корпус, </w:t>
      </w:r>
      <w:r w:rsidRPr="00D2298F">
        <w:rPr>
          <w:rFonts w:ascii="Times New Roman" w:hAnsi="Times New Roman" w:cs="Times New Roman"/>
          <w:b/>
          <w:sz w:val="24"/>
          <w:szCs w:val="24"/>
        </w:rPr>
        <w:t>литера.</w:t>
      </w:r>
    </w:p>
    <w:p w14:paraId="2286D670" w14:textId="77777777" w:rsidR="00C566FC" w:rsidRPr="00D2298F" w:rsidRDefault="00C566FC" w:rsidP="00C5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F">
        <w:rPr>
          <w:rFonts w:ascii="Times New Roman" w:hAnsi="Times New Roman" w:cs="Times New Roman"/>
          <w:sz w:val="24"/>
          <w:szCs w:val="24"/>
        </w:rPr>
        <w:t xml:space="preserve">Все отдельные элементы участка здания (строения, сооружения, тротуары, мостовые и пр.) должны быть </w:t>
      </w:r>
      <w:proofErr w:type="spellStart"/>
      <w:r w:rsidRPr="00D2298F">
        <w:rPr>
          <w:rFonts w:ascii="Times New Roman" w:hAnsi="Times New Roman" w:cs="Times New Roman"/>
          <w:sz w:val="24"/>
          <w:szCs w:val="24"/>
        </w:rPr>
        <w:t>пролитерованы</w:t>
      </w:r>
      <w:proofErr w:type="spellEnd"/>
      <w:r w:rsidRPr="00D2298F">
        <w:rPr>
          <w:rFonts w:ascii="Times New Roman" w:hAnsi="Times New Roman" w:cs="Times New Roman"/>
          <w:sz w:val="24"/>
          <w:szCs w:val="24"/>
        </w:rPr>
        <w:t>. Литера, как и этажность, материалы стен и др. относится к техническим характеристикам объекта (литера указывает на принадлежность объекта к жилому, либо нежилому фонду, объекту капитального строительства, гаражного строительства и т.д.), а не к адресу, как местонахождению объекта.</w:t>
      </w:r>
    </w:p>
    <w:p w14:paraId="29DD47F4" w14:textId="77777777" w:rsidR="00C566FC" w:rsidRPr="003B1F59" w:rsidRDefault="00C566FC" w:rsidP="00C566F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91E1723" w14:textId="77777777" w:rsidR="00C566FC" w:rsidRDefault="00C566FC" w:rsidP="00C566F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B94C32" w14:textId="77777777" w:rsidR="00AC3811" w:rsidRDefault="00AC3811"/>
    <w:sectPr w:rsidR="00AC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11"/>
    <w:rsid w:val="00AC3811"/>
    <w:rsid w:val="00C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7E449-BC5F-4D27-BE01-98A663C3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2018-03-02T07:44:00Z</dcterms:created>
  <dcterms:modified xsi:type="dcterms:W3CDTF">2018-03-02T07:44:00Z</dcterms:modified>
</cp:coreProperties>
</file>