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A3" w:rsidRPr="005124A3" w:rsidRDefault="005124A3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24A3" w:rsidRPr="005124A3" w:rsidRDefault="00512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5124A3" w:rsidRPr="005124A3" w:rsidRDefault="00512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4A3" w:rsidRPr="005124A3" w:rsidRDefault="00512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КОМИТЕТ ПО ТАРИФАМ САНКТ-ПЕТЕРБУРГА</w:t>
      </w:r>
    </w:p>
    <w:p w:rsidR="005124A3" w:rsidRPr="005124A3" w:rsidRDefault="00512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4A3" w:rsidRPr="005124A3" w:rsidRDefault="00512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5124A3" w:rsidRPr="005124A3" w:rsidRDefault="00512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от 27 августа 2015 г. N 01-13-1323/15-0-0</w:t>
      </w:r>
    </w:p>
    <w:p w:rsidR="005124A3" w:rsidRPr="005124A3" w:rsidRDefault="00512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124A3" w:rsidRPr="005124A3" w:rsidRDefault="00512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ОБ УСТАНОВЛЕНИИ РАЗМЕРА ПЛАТЫ ЗА СОДЕРЖАНИЕ И РЕМОНТ ЖИЛОГО</w:t>
      </w:r>
    </w:p>
    <w:p w:rsidR="005124A3" w:rsidRPr="005124A3" w:rsidRDefault="005124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ПОМЕЩЕНИЯ НА ТЕРРИТОРИИ САНКТ-ПЕТЕРБУРГА С 01.06.2015</w:t>
      </w:r>
    </w:p>
    <w:p w:rsidR="005124A3" w:rsidRPr="005124A3" w:rsidRDefault="005124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124A3">
          <w:rPr>
            <w:rFonts w:ascii="Times New Roman" w:hAnsi="Times New Roman" w:cs="Times New Roman"/>
            <w:sz w:val="24"/>
            <w:szCs w:val="24"/>
          </w:rPr>
          <w:t>частью 3 статьи 156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(далее - ЖК РФ), </w:t>
      </w:r>
      <w:hyperlink r:id="rId5" w:history="1">
        <w:r w:rsidRPr="005124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Санкт-Петербурга от 08.11.2006 N 553-87 "Об упорядочении государственного регулирования тарифов (цен)", </w:t>
      </w:r>
      <w:hyperlink r:id="rId6" w:history="1">
        <w:r w:rsidRPr="005124A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13.09.2005 N 1346 "О Комитете по тарифам Санкт-Петербурга" и </w:t>
      </w:r>
      <w:hyperlink r:id="rId7" w:history="1">
        <w:r w:rsidRPr="005124A3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Комитета по тарифам Санкт-Петербурга от 29.04.2015 N 27-р с 01.06.2015 изменяется размер платы за содержание и ремонт жилого помещения по отдельным услугам на территории Санкт-Петербурга.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Данное изменение размера платы за содержание и ремонт жилого помещения произведено в связи с обращениями ряда управляющих компаний по увеличению оплаты труда работников, непосредственно связанных с ручным трудом. Изменения коснулись следующих статей: "Содержание общего имущества в МКД" (по статье затрат "Уборка лестничных клеток"), "Уборка и санитарно-гигиеническая очистка земельного участка", "Очистка мусоропроводов". При этом рост заработной платы работников, занятых ручным трудом, в составе платы за содержание и ремонт жилого помещения на территории Санкт-Петербурга составляет более 30% от значений величины заработной платы, установленной согласно </w:t>
      </w:r>
      <w:hyperlink r:id="rId8" w:history="1">
        <w:r w:rsidRPr="005124A3">
          <w:rPr>
            <w:rFonts w:ascii="Times New Roman" w:hAnsi="Times New Roman" w:cs="Times New Roman"/>
            <w:sz w:val="24"/>
            <w:szCs w:val="24"/>
          </w:rPr>
          <w:t>распоряжению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Комитета по тарифам Санкт-Петербурга от 18.07.2011 N 134-р (в ред. от 15.08.2012 N 235-р).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Устанавливаемый на территории Санкт-Петербурга размер платы за содержание и ремонт жилого помещения применяется для неприватизированных квартир (для нанимателей жилых помещений по договорам социального найма государственного жилищного фонда Санкт-Петербурга, по договорам найма жилого помещения государственного жилищного фонда Санкт-Петербурга коммерческого использования и по договорам найма специализированного жилого помещения государственного жилищного фонда Санкт-Петербурга (далее - наниматели жилых помещений).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Для собственников жилых помещений в многоквартирных домах порядок определения размера платы за содержание и ремонт жилого помещения регламентируется Жилищным </w:t>
      </w:r>
      <w:hyperlink r:id="rId9" w:history="1">
        <w:r w:rsidRPr="005124A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Российской Федерации, согласно которому управляющим организациям, жилищным кооперативам, жилищно-строительным кооперативам, товариществам собственников жилья для решения вопросов, связанных с формированием платы за содержание и ремонт жилого помещения (в том числе платы за управление многоквартирным домом) и ее наполнением, следует исходить из решений, принятых собственниками, в соответствии с действующим законодательством.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Расчет установленного размера платы основан на анализе фактических расходов управляющих организаций (организаций, обслуживающих жилищный фонд) и учитывает индекс роста потребительских цен на платные услуги населению, динамику номинальной среднемесячной заработной платы граждан, определенную в прогнозе социально-экономического развития Российской Федерации.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ремонт жилого помещения учитывает необходимость повышения безопасности работы инженерных систем газоснабжения, предотвращения возникновения аварийных ситуаций и обеспечения бесперебойности поставки газа </w:t>
      </w:r>
      <w:r w:rsidRPr="005124A3">
        <w:rPr>
          <w:rFonts w:ascii="Times New Roman" w:hAnsi="Times New Roman" w:cs="Times New Roman"/>
          <w:sz w:val="24"/>
          <w:szCs w:val="24"/>
        </w:rPr>
        <w:lastRenderedPageBreak/>
        <w:t>населению при условии организованного исполнителем коммунальных услуг аварийно-диспетчерского обслуживания потребителей, а также надлежащего технического обслуживания и ремонта внутридомового газового оборудования, которые должны осуществляться специализированной организацией по соответствующим договорам, заключенным в отношении внутридомового газового оборудования.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Кроме того, размер платы за содержание и ремонт жилого помещения содержит расходы на обслуживание общедомовых приборов учета электрической и тепловой энергии, холодной и горячей воды, предусматривающие надлежащую эксплуатацию приборов учета, осмотры, техническое обслуживание, поверку приборов учета и т.д. Оплата по данной статье взимается при наличии соответствующих приборов учета.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Плата за техническое обслуживание и ремонт лифтов с нанимателей жилых помещений, проживающих в жилых помещениях на первых этажах, а также в жилых помещениях, имеющих выходы в подъезды, не оборудованные лифтом, не взимается до 01.09.2017.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Затраты на приобретение электрической энергии, используемой для работы приборов освещения помещений общего пользования и для работы электрического оборудования, входящего в состав общего имущества в многоквартирном доме, а также расходы на оказание услуг по водоснабжению, водоотведению и обеспечению тепловой энергией на собственные и технологические нужды в многоквартирном доме в соответствии с действующим законодательством не учитывались при определении величины платы по статье "Содержание общего имущества в многоквартирном доме". Эти затраты учитываются при определении размера платы за коммунальные услуги в соответствии с действующим законодательством.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Размер платы за содержание и ремонт жилого помещения рассчитан исходя из равномерной оплаты нанимателями жилых помещений услуг по содержанию и ремонту жилого помещения в течение 12 месяцев в году.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Плата за содержание и ремонт жилого помещения включает в себя следующие составляющие: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1. Плата за управление многоквартирным домом, которая выделена в составе платы за содержание и ремонт жилого помещения на основании </w:t>
      </w:r>
      <w:hyperlink r:id="rId10" w:history="1">
        <w:r w:rsidRPr="005124A3">
          <w:rPr>
            <w:rFonts w:ascii="Times New Roman" w:hAnsi="Times New Roman" w:cs="Times New Roman"/>
            <w:sz w:val="24"/>
            <w:szCs w:val="24"/>
          </w:rPr>
          <w:t>статьи 154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ЖК РФ, в размере 1,18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В плате за управление многоквартирным домом учтены административно-хозяйственные расходы на управление многоквартирным домом, включающие в себя оплату труда, отчисления в фонды обязательного социального страхования, канцелярские расходы, приобретение бланков и технической литературы, услуги связи, содержание помещений, сопровождение программ, содержание оргтехники, ремонт помещений, аренду, расходы на служебные разъезды, оплату аудиторских и консультационных услуг, охрану, затраты на услуги, связанные с осуществлением соответствующими организациями расчетов за оказанные гражданам жилищные услуги (ведение базы данных потребителей, печать и доставка потребителям платежных документов, организация приема платы организациями почтовой связи, кредитными и иными организациями, взыскание просроченной задолженности), услуги вычислительных центров, а также другие затраты.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2. Содержание общего имущества в многоквартирных домах - 9,59 руб./кв. м общей площади жилого помещения в месяц в соответствии с </w:t>
      </w:r>
      <w:hyperlink r:id="rId11" w:history="1">
        <w:r w:rsidRPr="005124A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13.08.2006 N 491 (далее - Правила), в том числе: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2.1. Обеспечение соблюдения характеристик надежности и безопасности многоквартирного дома; безопасности для жизни и здоровья граждан; доступности пользования жилыми и(или) нежилыми помещениями, помещениями общего пользования;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 осмотр общего имущества, обеспечение </w:t>
      </w:r>
      <w:r w:rsidRPr="005124A3">
        <w:rPr>
          <w:rFonts w:ascii="Times New Roman" w:hAnsi="Times New Roman" w:cs="Times New Roman"/>
          <w:sz w:val="24"/>
          <w:szCs w:val="24"/>
        </w:rPr>
        <w:lastRenderedPageBreak/>
        <w:t>установленных законодательством Российской Федерации температуры и влажности в помещениях общего пользования - 3,76 руб./кв. м общей площади жилого помещения в месяц, и содержит следующие составляющие: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2.1.1. Технические осмотры - 0,39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2.1.2. Работы и услуги по договорам со специализированными организациями (трубочистные работы, замер сопротивления изоляции проводов, обслуживание объединенных диспетчерских систем, поверка манометров и др. работы) - 0,37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При этом расходы на техническое обслуживание объединенных диспетчерских систем (ОДС) определены исходя из следующих расценок (включая стоимость материальных ресурсов) без НДС:</w:t>
      </w:r>
    </w:p>
    <w:p w:rsidR="005124A3" w:rsidRPr="005124A3" w:rsidRDefault="005124A3">
      <w:pPr>
        <w:rPr>
          <w:rFonts w:ascii="Times New Roman" w:hAnsi="Times New Roman" w:cs="Times New Roman"/>
          <w:sz w:val="24"/>
          <w:szCs w:val="24"/>
        </w:rPr>
        <w:sectPr w:rsidR="005124A3" w:rsidRPr="005124A3" w:rsidSect="001B0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5824"/>
        <w:gridCol w:w="1644"/>
        <w:gridCol w:w="1594"/>
      </w:tblGrid>
      <w:tr w:rsidR="005124A3" w:rsidRPr="005124A3">
        <w:tc>
          <w:tcPr>
            <w:tcW w:w="57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2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9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Расценка, руб.</w:t>
            </w:r>
          </w:p>
        </w:tc>
      </w:tr>
      <w:tr w:rsidR="005124A3" w:rsidRPr="005124A3">
        <w:tc>
          <w:tcPr>
            <w:tcW w:w="57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4" w:type="dxa"/>
          </w:tcPr>
          <w:p w:rsidR="005124A3" w:rsidRPr="005124A3" w:rsidRDefault="00512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ОДС с беспроводной (радио) связью</w:t>
            </w:r>
          </w:p>
        </w:tc>
        <w:tc>
          <w:tcPr>
            <w:tcW w:w="164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сигнал/месяц</w:t>
            </w:r>
          </w:p>
        </w:tc>
        <w:tc>
          <w:tcPr>
            <w:tcW w:w="159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138,95</w:t>
            </w:r>
          </w:p>
        </w:tc>
      </w:tr>
      <w:tr w:rsidR="005124A3" w:rsidRPr="005124A3">
        <w:tc>
          <w:tcPr>
            <w:tcW w:w="57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4" w:type="dxa"/>
          </w:tcPr>
          <w:p w:rsidR="005124A3" w:rsidRPr="005124A3" w:rsidRDefault="00512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ОДС с проводной связью</w:t>
            </w:r>
          </w:p>
        </w:tc>
        <w:tc>
          <w:tcPr>
            <w:tcW w:w="164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сигнал/месяц</w:t>
            </w:r>
          </w:p>
        </w:tc>
        <w:tc>
          <w:tcPr>
            <w:tcW w:w="1594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138,42</w:t>
            </w:r>
          </w:p>
        </w:tc>
      </w:tr>
    </w:tbl>
    <w:p w:rsidR="005124A3" w:rsidRPr="005124A3" w:rsidRDefault="005124A3">
      <w:pPr>
        <w:rPr>
          <w:rFonts w:ascii="Times New Roman" w:hAnsi="Times New Roman" w:cs="Times New Roman"/>
          <w:sz w:val="24"/>
          <w:szCs w:val="24"/>
        </w:rPr>
        <w:sectPr w:rsidR="005124A3" w:rsidRPr="005124A3">
          <w:pgSz w:w="16838" w:h="11905"/>
          <w:pgMar w:top="1701" w:right="1134" w:bottom="850" w:left="1134" w:header="0" w:footer="0" w:gutter="0"/>
          <w:cols w:space="720"/>
        </w:sectPr>
      </w:pP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Техническое обслуживание объединенных диспетчерских систем (ОДС) с проводной и радиосвязью осуществляется в соответствии с Положением о комплексном техническом обслуживании объединенных диспетчерских систем в жилищном хозяйстве (2002 г.).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2.1.3. Услуги аварийного обслуживания, по заявочному ремонту, по обследованию аварийных квартир - 1,27 руб./кв. м общей площади жилого помещения в месяц (включая затраты на материалы). При заключении договоров на аварийное обслуживание возможна оплата разового выезда аварийной бригады.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2.1.4. Работы по подготовке домов к сезонной эксплуатации - 1,44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2.1.5. Услуги по дератизации - 0,06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2.1.6. Услуги по помывке фасадов - 0,23 руб./кв. м общей площади жилого помещения в месяц. Ввиду отсутствия правовых оснований для возмещения за счет средств бюджета затрат на помывку фасадов зданий указанная статья включена в размер платы за содержание общего имущества в многоквартирном доме.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2.2. Очистка кровли от наледи и уборка снега - 0,59 руб./кв. м общей площади жилого помещения в месяц; в том числе: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2.2.1. Очистка кровли от наледи - 0,53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Работы по очистке кровли от наледи включают в себя: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удаление сосулек по периметру кровли;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очистку кровли от снега.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Мягкие кровли от снега не очищают, за исключением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2.2.2. Уборка и вывоз снега - 0,06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Расчет выполнен исходя из усредненных по домам, относящимся к государственному жилищному фонду Санкт-Петербурга, затрат на работы по уборке и вывозу снега, в том числе: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очищенного с кровель домов, кровля которых подлежит очистке;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убранного с территории, относящейся ко всем домам (в том числе с мягкой кровлей).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2.3. Уборка лестничных клеток - 1,68 руб./кв. м общей площади жилого помещения в месяц в соответствии с </w:t>
      </w:r>
      <w:hyperlink r:id="rId12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2.4. Вывоз и утилизация (захоронение) твердых бытовых отходов (далее - ТБО) - 3,56 руб./кв. м общей площади жилого помещения в месяц в соответствии с </w:t>
      </w:r>
      <w:hyperlink r:id="rId13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Правил, в том числе: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2.4.1. Вывоз твердых бытовых отходов - 2,53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Размер платы за вывоз ТБО для населения рассчитан исходя из </w:t>
      </w:r>
      <w:hyperlink r:id="rId14" w:history="1">
        <w:r w:rsidRPr="005124A3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образования твердых бытовых отходов населением, проживающим в жилищном фонде Санкт-Петербурга, из расчета (на 1 человека в год) в размере 1,88 куб. м в год, в том числе: твердых бытовых отходов, исключая крупногабаритные (на 1 человека), в размере 1,54 куб. м в год и крупногабаритных отходов (на 1 человека) в размере 0,34 куб. м в год (утверждены распоряжением Комитета по тарифам Санкт-Петербурга от 09.07.2008 N 30-р) и величины расходов на вывоз ТБО для специализированных организаций с 01.09.2012: 319,86 руб. за 1 куб. м, в том числе: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на вывоз ТБО - 355,44 руб. за 1 куб. м;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на вывоз крупногабаритных отходов (КГО) - 158,73 руб. за 1 куб. м.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2.4.2. Утилизация (захоронение) твердых бытовых отходов - 1,03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lastRenderedPageBreak/>
        <w:t>В составе платы за утилизацию (захоронение) ТБО учтены экономически обоснованные расходы на оплату услуг организаций коммунального комплекса по утилизации (захоронению) ТБО, рассчитанные исходя из нормативов образования ТБО населением и установленных тарифов на утилизацию (захоронение) ТБО в размере 129,87 руб. за 1 куб. м (без учета налога на добавленную стоимость - 110,06 руб. за 1 куб. м).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Суммарная величина расходов на вывоз и оплату услуг организаций коммунального комплекса по утилизации (захоронению) ТБО составляет 449,73 руб. за 1 куб. м, в том числе: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вывоз и утилизация (захоронение) ТБО 485,31 руб. за 1 куб. м;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вывоз и утилизация (захоронение) КГО 288,60 руб. за 1 куб. м.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3. Текущий ремонт общего имущества в многоквартирных домах - 5,08 руб./кв. м общей площади жилого помещения в месяц в соответствии с </w:t>
      </w:r>
      <w:hyperlink r:id="rId15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 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 Согласно </w:t>
      </w:r>
      <w:hyperlink r:id="rId17" w:history="1">
        <w:r w:rsidRPr="005124A3">
          <w:rPr>
            <w:rFonts w:ascii="Times New Roman" w:hAnsi="Times New Roman" w:cs="Times New Roman"/>
            <w:sz w:val="24"/>
            <w:szCs w:val="24"/>
          </w:rPr>
          <w:t>пункту 19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 в состав работ по текущему ремонту общего имущества не входят работы по текущему ремонту дверей в жилое или нежилое помещение, не являющееся помещением общего пользования, дверей и окон, расположенных внутри жилого или нежилого помещения.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4. 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дома, - 1,41 руб./кв. м общей площади жилого помещения в месяц в соответствии с </w:t>
      </w:r>
      <w:hyperlink r:id="rId18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5. Очистка мусоропровода - 1,26 руб./кв. м общей площади жилого помещения в месяц на основании </w:t>
      </w:r>
      <w:hyperlink r:id="rId19" w:history="1">
        <w:r w:rsidRPr="005124A3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Правил, в соответствии с которым в состав общего имущества включается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и(или) нежилого помещения (квартиры).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6. Содержание и ремонт переговорно-замочного устройства (автоматически запирающегося устройства двери подъезда) - 0,34 руб./кв.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 в состав общего имущества включается внутридомовая система электроснабжения, состоящая в том числе из автоматически запирающихся устройств дверей подъездов многоквартирного дома.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7. Содержание и ремонт систем автоматизированной противопожарной защиты - 0,41 руб./кв. м общей площади жилого помещения в месяц в соответствии с </w:t>
      </w:r>
      <w:hyperlink r:id="rId21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Правил, а также </w:t>
      </w:r>
      <w:hyperlink r:id="rId22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Правил, согласно которому в состав общего имущества включается внутридомовая система электроснабжения, состоящая в том числе из электрических установок систем </w:t>
      </w:r>
      <w:proofErr w:type="spellStart"/>
      <w:r w:rsidRPr="005124A3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5124A3">
        <w:rPr>
          <w:rFonts w:ascii="Times New Roman" w:hAnsi="Times New Roman" w:cs="Times New Roman"/>
          <w:sz w:val="24"/>
          <w:szCs w:val="24"/>
        </w:rPr>
        <w:t>, систем автоматической пожарной сигнализации внутреннего противопожарного водопровода.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8. Содержание и текущий ремонт внутридомовых инженерных систем газоснабжения - 0,56 руб./кв. м общей площади жилого помещения в месяц (в домах, оборудованных системами газоснабжения) в соответствии с </w:t>
      </w:r>
      <w:hyperlink r:id="rId23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Правил, в соответствии с которым в состав общего имущества включается внутридомовая система газоснабжения, в том числе:</w:t>
      </w:r>
    </w:p>
    <w:p w:rsidR="005124A3" w:rsidRPr="005124A3" w:rsidRDefault="005124A3">
      <w:pPr>
        <w:rPr>
          <w:rFonts w:ascii="Times New Roman" w:hAnsi="Times New Roman" w:cs="Times New Roman"/>
          <w:sz w:val="24"/>
          <w:szCs w:val="24"/>
        </w:rPr>
        <w:sectPr w:rsidR="005124A3" w:rsidRPr="005124A3">
          <w:pgSz w:w="11905" w:h="16838"/>
          <w:pgMar w:top="1134" w:right="850" w:bottom="1134" w:left="1701" w:header="0" w:footer="0" w:gutter="0"/>
          <w:cols w:space="720"/>
        </w:sectPr>
      </w:pP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3"/>
        <w:gridCol w:w="5443"/>
        <w:gridCol w:w="3515"/>
      </w:tblGrid>
      <w:tr w:rsidR="005124A3" w:rsidRPr="005124A3">
        <w:tc>
          <w:tcPr>
            <w:tcW w:w="653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43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15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руб. в месяц за 1 кв. м общей площади жилого помещения</w:t>
            </w:r>
          </w:p>
        </w:tc>
      </w:tr>
      <w:tr w:rsidR="005124A3" w:rsidRPr="005124A3">
        <w:tc>
          <w:tcPr>
            <w:tcW w:w="653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3" w:type="dxa"/>
          </w:tcPr>
          <w:p w:rsidR="005124A3" w:rsidRPr="005124A3" w:rsidRDefault="00512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Работы по аварийному обслуживанию</w:t>
            </w:r>
          </w:p>
        </w:tc>
        <w:tc>
          <w:tcPr>
            <w:tcW w:w="3515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124A3" w:rsidRPr="005124A3">
        <w:tc>
          <w:tcPr>
            <w:tcW w:w="653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3" w:type="dxa"/>
          </w:tcPr>
          <w:p w:rsidR="005124A3" w:rsidRPr="005124A3" w:rsidRDefault="00512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и ремонту</w:t>
            </w:r>
          </w:p>
        </w:tc>
        <w:tc>
          <w:tcPr>
            <w:tcW w:w="3515" w:type="dxa"/>
          </w:tcPr>
          <w:p w:rsidR="005124A3" w:rsidRPr="005124A3" w:rsidRDefault="005124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A3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</w:tbl>
    <w:p w:rsidR="005124A3" w:rsidRPr="005124A3" w:rsidRDefault="005124A3">
      <w:pPr>
        <w:rPr>
          <w:rFonts w:ascii="Times New Roman" w:hAnsi="Times New Roman" w:cs="Times New Roman"/>
          <w:sz w:val="24"/>
          <w:szCs w:val="24"/>
        </w:rPr>
        <w:sectPr w:rsidR="005124A3" w:rsidRPr="005124A3">
          <w:pgSz w:w="16838" w:h="11905"/>
          <w:pgMar w:top="1701" w:right="1134" w:bottom="850" w:left="1134" w:header="0" w:footer="0" w:gutter="0"/>
          <w:cols w:space="720"/>
        </w:sectPr>
      </w:pP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Техническое обслуживание внутридомовых инженерных систем газоснабжения, включая аварийное обслуживание (служба 04), осуществляется по договорам со специализированными организациями.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9. Эксплуатация коллективных (общедомовых) приборов учета используемых энергетических ресурсов с учетом фактических затрат организаций на эксплуатацию соответствующих приборов учета, в </w:t>
      </w:r>
      <w:proofErr w:type="spellStart"/>
      <w:r w:rsidRPr="005124A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24A3">
        <w:rPr>
          <w:rFonts w:ascii="Times New Roman" w:hAnsi="Times New Roman" w:cs="Times New Roman"/>
          <w:sz w:val="24"/>
          <w:szCs w:val="24"/>
        </w:rPr>
        <w:t>. по видам ресурсов: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электрическая энергия - 0,06 руб. за 1 кв. м общей площади жилого помещения в месяц;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тепловая энергия и горячее водоснабжение - 0,48 руб. за 1 кв. м общей площади жилого помещения в месяц;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холодное водоснабжение - 0,05 руб. за 1 кв. м общей площади жилого помещения в месяц.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Плата за обслуживание общедомовых приборов учета газа исключена из состава платы за содержание и ремонт жилого помещения, т.к. Федеральный </w:t>
      </w:r>
      <w:hyperlink r:id="rId24" w:history="1">
        <w:r w:rsidRPr="005124A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от 23.11.2009 N 261-ФЗ "Об энергосбережении и о повышении </w:t>
      </w:r>
      <w:proofErr w:type="gramStart"/>
      <w:r w:rsidRPr="005124A3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5124A3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 не содержит требований по установке общедомовых приборов учета газа.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В рамках технического обслуживания и эксплуатации коллективных (общедомовых) приборов электрической энергии осуществляются работы по поверке и замене неисправного либо не прошедшего поверку прибора учета.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В перечень работ и мероприятий по эксплуатации и обслуживанию общедомовых узлов учета тепловой энергии (горячей воды), холодной воды, осуществляемых сервисными организациями, входят: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контроль технического состояния работоспособности оборудования (</w:t>
      </w:r>
      <w:proofErr w:type="spellStart"/>
      <w:r w:rsidRPr="005124A3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 w:rsidRPr="005124A3">
        <w:rPr>
          <w:rFonts w:ascii="Times New Roman" w:hAnsi="Times New Roman" w:cs="Times New Roman"/>
          <w:sz w:val="24"/>
          <w:szCs w:val="24"/>
        </w:rPr>
        <w:t>);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проверка работоспособности и наладка оборудования на месте эксплуатации;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текущий ремонт: замена прокладок, замена крепежа, чистка расходомеров в случае выявления некорректных показаний, замена неисправных элементов узла: запорной арматуры, тройников, фильтров, патрубков обвязки счетчиков и др.;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планово-профилактические работы: демонтаж, монтаж, чистка (промывка) расходомеров (</w:t>
      </w:r>
      <w:proofErr w:type="spellStart"/>
      <w:r w:rsidRPr="005124A3">
        <w:rPr>
          <w:rFonts w:ascii="Times New Roman" w:hAnsi="Times New Roman" w:cs="Times New Roman"/>
          <w:sz w:val="24"/>
          <w:szCs w:val="24"/>
        </w:rPr>
        <w:t>водосчетчиков</w:t>
      </w:r>
      <w:proofErr w:type="spellEnd"/>
      <w:r w:rsidRPr="005124A3">
        <w:rPr>
          <w:rFonts w:ascii="Times New Roman" w:hAnsi="Times New Roman" w:cs="Times New Roman"/>
          <w:sz w:val="24"/>
          <w:szCs w:val="24"/>
        </w:rPr>
        <w:t>), калибровка средств измерения, наладка оборудования, устранение протечек, набивка сальников и ревизия запорной арматуры, антикоррозийная подкраска элементов узла, очистка фильтрующих устройств;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для узлов учета тепловой энергии - подготовка к отопительному сезону: осмотр, промывка и чистка расходомеров, проверка исправности оборудования, предъявление представителю теплоснабжающей организации узла учета тепловой энергии для оформления Акта допуска в эксплуатацию.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Периодичность проведения отдельных видов работ по эксплуатации и обслуживанию коммерческих узлов учета определяется техническими (паспортными) характеристиками установленного оборудования.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Кроме того, сервисные организации должны руководствоваться нормативными документами, основные из которых: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"</w:t>
      </w:r>
      <w:hyperlink r:id="rId25" w:history="1">
        <w:r w:rsidRPr="005124A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учета тепловой энергии и теплоносителя" (утв. Минтопэнерго Российской Федерации 12.09.1995 N Вк-4936, </w:t>
      </w:r>
      <w:proofErr w:type="spellStart"/>
      <w:r w:rsidRPr="005124A3">
        <w:rPr>
          <w:rFonts w:ascii="Times New Roman" w:hAnsi="Times New Roman" w:cs="Times New Roman"/>
          <w:sz w:val="24"/>
          <w:szCs w:val="24"/>
        </w:rPr>
        <w:t>зарег</w:t>
      </w:r>
      <w:proofErr w:type="spellEnd"/>
      <w:r w:rsidRPr="005124A3">
        <w:rPr>
          <w:rFonts w:ascii="Times New Roman" w:hAnsi="Times New Roman" w:cs="Times New Roman"/>
          <w:sz w:val="24"/>
          <w:szCs w:val="24"/>
        </w:rPr>
        <w:t>. в Минюсте Российской Федерации 25.09.1995 N 954);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"</w:t>
      </w:r>
      <w:hyperlink r:id="rId26" w:history="1">
        <w:r w:rsidRPr="005124A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о проведении планово-предупредительного ремонта на предприятиях водно-канализационного хозяйства" (утв. протоколом N 13-8 заседания Секции инженерного оборудования и инженерных сооружений Научно-технического Совета Госстроя РСФСР от 01.06.1989);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10. Содержание и ремонт лифтов (в соответствии с </w:t>
      </w:r>
      <w:hyperlink r:id="rId27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Правил) - размер платы для населения определяется исходя из фактической стоимости технического обслуживания лифтов в каждом доме с учетом фактических затрат и предложений управляющих </w:t>
      </w:r>
      <w:r w:rsidRPr="005124A3">
        <w:rPr>
          <w:rFonts w:ascii="Times New Roman" w:hAnsi="Times New Roman" w:cs="Times New Roman"/>
          <w:sz w:val="24"/>
          <w:szCs w:val="24"/>
        </w:rPr>
        <w:lastRenderedPageBreak/>
        <w:t>организаций на содержание и ремонт лифтов. Базовая стоимость комплексного технического обслуживания 1 лифта на 9 этажей составляет 3932,99 руб. в месяц и включает следующие расходы: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проведение осмотров, аварийное и техническое обслуживание лифтов, текущий ремонт лифтов - 3528,35 руб. в месяц;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- проведение ежегодного технического освидетельствования лифтов, экспертного обследования - 307,52 руб. в месяц;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- страхование лифтов - 97,12 руб. в месяц в соответствии с </w:t>
      </w:r>
      <w:hyperlink r:id="rId28" w:history="1">
        <w:r w:rsidRPr="005124A3">
          <w:rPr>
            <w:rFonts w:ascii="Times New Roman" w:hAnsi="Times New Roman" w:cs="Times New Roman"/>
            <w:sz w:val="24"/>
            <w:szCs w:val="24"/>
          </w:rPr>
          <w:t>пунктом 4 части 1 статьи 5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Федерального закона N 225-ФЗ, согласно которому к опасным объектам, владельцы которых обязаны осуществлять обязательное страхование, относятся расположенные на территории Российской Федерации лифты и подъемные платформы для инвалидов.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Приведенная в настоящем информационном письме примерная структура расходов в составе платы за содержание и ремонт жилого помещения не может быть одинаковой для каждого многоквартирного дома.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9" w:history="1">
        <w:r w:rsidRPr="005124A3">
          <w:rPr>
            <w:rFonts w:ascii="Times New Roman" w:hAnsi="Times New Roman" w:cs="Times New Roman"/>
            <w:sz w:val="24"/>
            <w:szCs w:val="24"/>
          </w:rPr>
          <w:t>частью 2 статьи 156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ЖК РФ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При оказании услуг и выполнении работ ненадлежащего качества и(или) с перерывами размер платы за содержание и ремонт жилого помещения должен быть снижен в порядке, установленном </w:t>
      </w:r>
      <w:hyperlink r:id="rId30" w:history="1">
        <w:r w:rsidRPr="005124A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и(или) с перерывами, превышающими установленную продолжительность, утвержденными постановлением Правительства Российской Федерации от 13.08.2006 N 491.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В случае отсутствия какого-либо вида работ размер платы за содержание общего имущества в многоквартирном доме должен быть уменьшен на соответствующую величину.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В целях социальной защиты граждан, имеющих право на меры социальной поддержки, и граждан, относящихся к категории малообеспеченных, в бюджете Санкт-Петербурга предусмотрен полный объем финансовых средств на предоставление соответствующих субсидий.</w:t>
      </w:r>
    </w:p>
    <w:p w:rsidR="005124A3" w:rsidRPr="005124A3" w:rsidRDefault="00512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 xml:space="preserve">Комитет по тарифам Санкт-Петербурга сообщает, что информационное </w:t>
      </w:r>
      <w:hyperlink r:id="rId31" w:history="1">
        <w:r w:rsidRPr="005124A3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5124A3">
        <w:rPr>
          <w:rFonts w:ascii="Times New Roman" w:hAnsi="Times New Roman" w:cs="Times New Roman"/>
          <w:sz w:val="24"/>
          <w:szCs w:val="24"/>
        </w:rPr>
        <w:t xml:space="preserve"> Комитета по тарифам Санкт-Петербурга от 06.05.2015 N 01-13-630/15-0-0 не подлежит применению.</w:t>
      </w:r>
    </w:p>
    <w:p w:rsidR="005124A3" w:rsidRPr="005124A3" w:rsidRDefault="005124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A3" w:rsidRPr="005124A3" w:rsidRDefault="005124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24A3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5124A3" w:rsidRPr="005124A3" w:rsidRDefault="005124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24A3">
        <w:rPr>
          <w:rFonts w:ascii="Times New Roman" w:hAnsi="Times New Roman" w:cs="Times New Roman"/>
          <w:sz w:val="24"/>
          <w:szCs w:val="24"/>
        </w:rPr>
        <w:t>Д.В.Коптин</w:t>
      </w:r>
      <w:proofErr w:type="spellEnd"/>
    </w:p>
    <w:p w:rsidR="005124A3" w:rsidRPr="005124A3" w:rsidRDefault="005124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A3" w:rsidRPr="005124A3" w:rsidRDefault="005124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4A3" w:rsidRPr="005124A3" w:rsidRDefault="005124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74CD" w:rsidRPr="005124A3" w:rsidRDefault="005124A3">
      <w:pPr>
        <w:rPr>
          <w:rFonts w:ascii="Times New Roman" w:hAnsi="Times New Roman" w:cs="Times New Roman"/>
          <w:sz w:val="24"/>
          <w:szCs w:val="24"/>
        </w:rPr>
      </w:pPr>
    </w:p>
    <w:sectPr w:rsidR="00F074CD" w:rsidRPr="005124A3" w:rsidSect="007516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A3"/>
    <w:rsid w:val="005124A3"/>
    <w:rsid w:val="006D5A14"/>
    <w:rsid w:val="00D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7314-3B7E-4CC1-9A6B-765FB879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856D0F3AE987076DA2C6DAFAC963AE3C3ADCC93F85EF0E19411C5C201F83B353C4D7E206A56ABEKEL6M" TargetMode="External"/><Relationship Id="rId18" Type="http://schemas.openxmlformats.org/officeDocument/2006/relationships/hyperlink" Target="consultantplus://offline/ref=EC856D0F3AE987076DA2C6DAFAC963AE3C3ADCC93F85EF0E19411C5C201F83B353C4D7E206A56ABEKEL6M" TargetMode="External"/><Relationship Id="rId26" Type="http://schemas.openxmlformats.org/officeDocument/2006/relationships/hyperlink" Target="consultantplus://offline/ref=EC856D0F3AE987076DA2D1C6FCC963AE3B34DACC31D1B80C481412K5L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856D0F3AE987076DA2C6DAFAC963AE3C3ADCC93F85EF0E19411C5C201F83B353C4D7E206A56ABEKEL6M" TargetMode="External"/><Relationship Id="rId7" Type="http://schemas.openxmlformats.org/officeDocument/2006/relationships/hyperlink" Target="consultantplus://offline/ref=EC856D0F3AE987076DA2C7C5EBC963AE3C3ADDC93E82EF0E19411C5C20K1LFM" TargetMode="External"/><Relationship Id="rId12" Type="http://schemas.openxmlformats.org/officeDocument/2006/relationships/hyperlink" Target="consultantplus://offline/ref=EC856D0F3AE987076DA2C6DAFAC963AE3C3ADCC93F85EF0E19411C5C201F83B353C4D7E206A56ABEKEL6M" TargetMode="External"/><Relationship Id="rId17" Type="http://schemas.openxmlformats.org/officeDocument/2006/relationships/hyperlink" Target="consultantplus://offline/ref=EC856D0F3AE987076DA2C6DAFAC963AE3C3ADCC93F85EF0E19411C5C201F83B353C4D7E206A56ABCKEL1M" TargetMode="External"/><Relationship Id="rId25" Type="http://schemas.openxmlformats.org/officeDocument/2006/relationships/hyperlink" Target="consultantplus://offline/ref=EC856D0F3AE987076DA2C6DAFAC963AE3539D9CF31D1B80C481412K5L9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856D0F3AE987076DA2C6DAFAC963AE3C3ADCC93F85EF0E19411C5C201F83B353C4D7E206A56ABCKEL2M" TargetMode="External"/><Relationship Id="rId20" Type="http://schemas.openxmlformats.org/officeDocument/2006/relationships/hyperlink" Target="consultantplus://offline/ref=EC856D0F3AE987076DA2C6DAFAC963AE3C3ADCC93F85EF0E19411C5C201F83B353C4D7E206A56ABFKEL7M" TargetMode="External"/><Relationship Id="rId29" Type="http://schemas.openxmlformats.org/officeDocument/2006/relationships/hyperlink" Target="consultantplus://offline/ref=EC856D0F3AE987076DA2C6DAFAC963AE3C34DFCA3D80EF0E19411C5C201F83B353C4D7E206A46EB2KEL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56D0F3AE987076DA2C7C5EBC963AE3C3ADFC03883EF0E19411C5C20K1LFM" TargetMode="External"/><Relationship Id="rId11" Type="http://schemas.openxmlformats.org/officeDocument/2006/relationships/hyperlink" Target="consultantplus://offline/ref=EC856D0F3AE987076DA2C6DAFAC963AE3C3ADCC93F85EF0E19411C5C201F83B353C4D7E206A56AB9KEL6M" TargetMode="External"/><Relationship Id="rId24" Type="http://schemas.openxmlformats.org/officeDocument/2006/relationships/hyperlink" Target="consultantplus://offline/ref=EC856D0F3AE987076DA2C6DAFAC963AE3C34DFCE3E80EF0E19411C5C20K1LF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C856D0F3AE987076DA2C7C5EBC963AE3A3ADECF398CB2041118105EK2L7M" TargetMode="External"/><Relationship Id="rId15" Type="http://schemas.openxmlformats.org/officeDocument/2006/relationships/hyperlink" Target="consultantplus://offline/ref=EC856D0F3AE987076DA2C6DAFAC963AE3C3ADCC93F85EF0E19411C5C201F83B353C4D7E206A56ABEKEL6M" TargetMode="External"/><Relationship Id="rId23" Type="http://schemas.openxmlformats.org/officeDocument/2006/relationships/hyperlink" Target="consultantplus://offline/ref=EC856D0F3AE987076DA2C6DAFAC963AE3C3ADCC93F85EF0E19411C5C201F83B353C4D7KEL1M" TargetMode="External"/><Relationship Id="rId28" Type="http://schemas.openxmlformats.org/officeDocument/2006/relationships/hyperlink" Target="consultantplus://offline/ref=EC856D0F3AE987076DA2C6DAFAC963AE3C3BDDCC3D82EF0E19411C5C201F83B353C4D7KEL4M" TargetMode="External"/><Relationship Id="rId10" Type="http://schemas.openxmlformats.org/officeDocument/2006/relationships/hyperlink" Target="consultantplus://offline/ref=EC856D0F3AE987076DA2C6DAFAC963AE3C34DFCA3D80EF0E19411C5C201F83B353C4D7E206A563BBKEL7M" TargetMode="External"/><Relationship Id="rId19" Type="http://schemas.openxmlformats.org/officeDocument/2006/relationships/hyperlink" Target="consultantplus://offline/ref=EC856D0F3AE987076DA2C6DAFAC963AE3C3ADCC93F85EF0E19411C5C201F83B353C4D7E206A56AB9KELFM" TargetMode="External"/><Relationship Id="rId31" Type="http://schemas.openxmlformats.org/officeDocument/2006/relationships/hyperlink" Target="consultantplus://offline/ref=EC856D0F3AE987076DA2C7C5EBC963AE3C3ADDC93E83EF0E19411C5C20K1LFM" TargetMode="External"/><Relationship Id="rId4" Type="http://schemas.openxmlformats.org/officeDocument/2006/relationships/hyperlink" Target="consultantplus://offline/ref=EC856D0F3AE987076DA2C6DAFAC963AE3C34DFCA3D80EF0E19411C5C201F83B353C4D7E206A46EB2KELFM" TargetMode="External"/><Relationship Id="rId9" Type="http://schemas.openxmlformats.org/officeDocument/2006/relationships/hyperlink" Target="consultantplus://offline/ref=EC856D0F3AE987076DA2C6DAFAC963AE3C34DFCA3D80EF0E19411C5C20K1LFM" TargetMode="External"/><Relationship Id="rId14" Type="http://schemas.openxmlformats.org/officeDocument/2006/relationships/hyperlink" Target="consultantplus://offline/ref=EC856D0F3AE987076DA2C7C5EBC963AE353DD4C93E8CB2041118105E2710DCA4548DDBE306A56AKBLDM" TargetMode="External"/><Relationship Id="rId22" Type="http://schemas.openxmlformats.org/officeDocument/2006/relationships/hyperlink" Target="consultantplus://offline/ref=EC856D0F3AE987076DA2C6DAFAC963AE3C3ADCC93F85EF0E19411C5C201F83B353C4D7E206A56ABFKEL7M" TargetMode="External"/><Relationship Id="rId27" Type="http://schemas.openxmlformats.org/officeDocument/2006/relationships/hyperlink" Target="consultantplus://offline/ref=EC856D0F3AE987076DA2C6DAFAC963AE3C3ADCC93F85EF0E19411C5C201F83B353C4D7E206A56ABFKEL7M" TargetMode="External"/><Relationship Id="rId30" Type="http://schemas.openxmlformats.org/officeDocument/2006/relationships/hyperlink" Target="consultantplus://offline/ref=EC856D0F3AE987076DA2C6DAFAC963AE3C3ADCC93F85EF0E19411C5C201F83B353C4D7E206A56BB9KEL1M" TargetMode="External"/><Relationship Id="rId8" Type="http://schemas.openxmlformats.org/officeDocument/2006/relationships/hyperlink" Target="consultantplus://offline/ref=EC856D0F3AE987076DA2C7C5EBC963AE3C3ADDC1328FEF0E19411C5C20K1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3589</Words>
  <Characters>20461</Characters>
  <Application>Microsoft Office Word</Application>
  <DocSecurity>0</DocSecurity>
  <Lines>170</Lines>
  <Paragraphs>48</Paragraphs>
  <ScaleCrop>false</ScaleCrop>
  <Company/>
  <LinksUpToDate>false</LinksUpToDate>
  <CharactersWithSpaces>24002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2016-02-25T12:11:00Z</dcterms:created>
  <dcterms:modified xsi:type="dcterms:W3CDTF">2016-02-25T12:11:00Z</dcterms:modified>
</cp:coreProperties>
</file>